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6EE079A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D5AAE" w:rsidRPr="004B29F4">
        <w:rPr>
          <w:rFonts w:ascii="Verdana" w:hAnsi="Verdana"/>
          <w:b/>
          <w:bCs/>
          <w:sz w:val="18"/>
          <w:szCs w:val="18"/>
        </w:rPr>
        <w:t>Údržba, opravy a odstraňování závad u SSZT 2026–2027_revize a opravy EPS a EZS u SSZT Jihlava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D5AA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D5AA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D5AA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D5AA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D5AA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D5AA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17C80B89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D5AAE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494FFBA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D5AAE" w:rsidRPr="00ED5AA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07956" w14:textId="71D38383" w:rsidR="00ED5AAE" w:rsidRDefault="00ED5AA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691C18" wp14:editId="0DB383A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71507485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BEF1E8" w14:textId="6253231A" w:rsidR="00ED5AAE" w:rsidRPr="00ED5AAE" w:rsidRDefault="00ED5AAE" w:rsidP="00ED5AA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D5AA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691C1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2BEF1E8" w14:textId="6253231A" w:rsidR="00ED5AAE" w:rsidRPr="00ED5AAE" w:rsidRDefault="00ED5AAE" w:rsidP="00ED5AA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D5AA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C8FA9" w14:textId="04684C4F" w:rsidR="00ED5AAE" w:rsidRDefault="00ED5AA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442128" wp14:editId="75AA6F3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3473106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324E5" w14:textId="4B5B36B7" w:rsidR="00ED5AAE" w:rsidRPr="00ED5AAE" w:rsidRDefault="00ED5AAE" w:rsidP="00ED5AA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D5AA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4212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B7324E5" w14:textId="4B5B36B7" w:rsidR="00ED5AAE" w:rsidRPr="00ED5AAE" w:rsidRDefault="00ED5AAE" w:rsidP="00ED5AA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D5AA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0EB9D9E4" w:rsidR="00057EDF" w:rsidRPr="006806BA" w:rsidRDefault="00ED5AAE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AE8B435" wp14:editId="73B5D546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530989712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1AB6E8E" w14:textId="58BD2BCE" w:rsidR="00ED5AAE" w:rsidRPr="00ED5AAE" w:rsidRDefault="00ED5AAE" w:rsidP="00ED5AA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D5AA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AE8B43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1AB6E8E" w14:textId="58BD2BCE" w:rsidR="00ED5AAE" w:rsidRPr="00ED5AAE" w:rsidRDefault="00ED5AAE" w:rsidP="00ED5AA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D5AA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268086">
    <w:abstractNumId w:val="5"/>
  </w:num>
  <w:num w:numId="2" w16cid:durableId="41253383">
    <w:abstractNumId w:val="1"/>
  </w:num>
  <w:num w:numId="3" w16cid:durableId="1411459827">
    <w:abstractNumId w:val="3"/>
  </w:num>
  <w:num w:numId="4" w16cid:durableId="1061514187">
    <w:abstractNumId w:val="4"/>
  </w:num>
  <w:num w:numId="5" w16cid:durableId="1784181805">
    <w:abstractNumId w:val="0"/>
  </w:num>
  <w:num w:numId="6" w16cid:durableId="1501002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57157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AAE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B2640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B2640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B2640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B2640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B2640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B2640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B2640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B2640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B2640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B2640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B2640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B2640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B2640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B2640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B2640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B2640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B2640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B2640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57157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2025-11-25T07:23:00Z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5b410c90,2a9f2d29,5b7a233a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